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F630D8">
      <w:pPr>
        <w:spacing w:line="360" w:lineRule="auto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554355" cy="188595"/>
            <wp:effectExtent l="0" t="0" r="17145" b="1905"/>
            <wp:docPr id="300" name="第三节.EPS" descr="id:21474888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第三节.EPS" descr="id:2147488897;FounderCES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4760" cy="18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sz w:val="24"/>
          <w:szCs w:val="24"/>
          <w:lang w:val="en-US" w:eastAsia="zh-CN"/>
        </w:rPr>
        <w:t xml:space="preserve"> </w:t>
      </w: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先天性行为和学习行为</w:t>
      </w:r>
    </w:p>
    <w:p w14:paraId="7DBEAD34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01" name="XT2.EPS" descr="id:21474889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XT2.EPS" descr="id:2147488913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课时目标</w:t>
      </w:r>
    </w:p>
    <w:p w14:paraId="26C83F8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1.举例说明并区分动物的先天性行为和学习行为。</w:t>
      </w:r>
    </w:p>
    <w:p w14:paraId="4530F283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2.理解学习行为的概念,树立正确的学习观。</w:t>
      </w:r>
    </w:p>
    <w:p w14:paraId="27D7015E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3.通过分析动物行为的相关资料,提高比较、归纳、分析、综合等科学思维能力。</w:t>
      </w:r>
    </w:p>
    <w:p w14:paraId="2AC5F258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4.通过了解人类对动物学习行为的运用,关注动物对人类的影响。</w:t>
      </w:r>
    </w:p>
    <w:p w14:paraId="00B62802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学习重点: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举例说明并区分动物的先天性行为和学习行为。</w:t>
      </w:r>
    </w:p>
    <w:p w14:paraId="5025610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eastAsia" w:ascii="Times New Roman" w:hAnsi="Times New Roman" w:cs="Times New Roman" w:eastAsiaTheme="minorEastAsia"/>
          <w:b/>
          <w:color w:val="0070C0"/>
          <w:sz w:val="24"/>
          <w:szCs w:val="24"/>
          <w:lang w:eastAsia="zh-CN"/>
        </w:rPr>
        <w:t>学习难点: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通过分析动物行为的相关资料,提高比较、归纳、分析、综合等科学思维能力。</w:t>
      </w:r>
    </w:p>
    <w:p w14:paraId="6E6C56D6">
      <w:pPr>
        <w:pStyle w:val="6"/>
        <w:spacing w:line="360" w:lineRule="auto"/>
        <w:jc w:val="left"/>
        <w:outlineLvl w:val="2"/>
        <w:rPr>
          <w:rFonts w:hint="eastAsia" w:ascii="Times New Roman" w:hAnsi="Times New Roman" w:cs="Times New Roman" w:eastAsiaTheme="minorEastAsia"/>
          <w:sz w:val="24"/>
          <w:szCs w:val="24"/>
          <w:lang w:eastAsia="zh-CN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203835" cy="176530"/>
            <wp:effectExtent l="0" t="0" r="5715" b="13970"/>
            <wp:docPr id="302" name="XT2.EPS" descr="id:21474889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XT2.EPS" descr="id:2147488929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4120" cy="176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课时活动设计</w:t>
      </w:r>
    </w:p>
    <w:p w14:paraId="26FE6D23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03" name="教学活动1.EPS" descr="id:21474889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3" name="教学活动1.EPS" descr="id:2147488936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8F3F110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情境导入。小明的同学送给他一只刚出生不久的小狗,来到陌生的主人家,刚开始它只会乖乖地吃饭、睡觉。后来经过主人的训练,它学会了到指定的地方去排便、排尿,还学会了简单的加减法,它还经常在客人面前表演节目呢!提出问题:辨别小狗的行为,哪些是小狗生来就会的,哪些是后天学习得来的?这两种行为的本质一样吗?</w:t>
      </w:r>
    </w:p>
    <w:p w14:paraId="7E704855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04" name="XT3.EPS" descr="id:21474889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XT3.EPS" descr="id:2147488943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通过趣味小故事创设问题情境,激发学生的学习兴趣。在问题引导下开启学生思维,顺利引出新的探究内容,进入新课的学习。</w:t>
      </w:r>
    </w:p>
    <w:p w14:paraId="50C5C61B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05" name="教学活动2.EPS" descr="id:21474889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教学活动2.EPS" descr="id:2147488950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9324A4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小狗的行为很容易辨别,直接建构概念:动物生下来就具有的,由身体里遗传物质所控制的行为,是动物的先天性行为;不是动物生来就具有的,而是通过学习获得的行为,是动物的学习行为。此时只是初步建构了概念,接下来通过大量的实例分析,反复推敲,加深对概念的理解。尤其是红雀喂鱼、大山雀偷喝牛奶的实例,红雀和大山雀都是鸟类,却表现出截然不同的行为,引导学生思考,动物的先天性行为是有一定的局限性的,无法快速适应变化的环境。</w:t>
      </w:r>
    </w:p>
    <w:p w14:paraId="2EC259A9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06" name="XT3.EPS" descr="id:21474889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6" name="XT3.EPS" descr="id:2147488957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遵循由感性到理性的认知规律,借助大量的实例创设形象生动的学习情境,为学生搭建思维平台,在感性认知的基础上激励学生透过现象看本质,提高学生的比较、归纳、分析、综合等科学思维能力。</w:t>
      </w:r>
    </w:p>
    <w:p w14:paraId="54B18F95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07" name="教学活动3.EPS" descr="id:21474889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" name="教学活动3.EPS" descr="id:2147488964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E94D8D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通过实验了解学习行为的获得过程,分析影响学习能力的因素。出示蚯蚓走迷宫的实验过程和现象,引导学生思考蚯蚓的行为是先天性行为还是学习行为;再给出小白鼠走迷宫的视频,对比分析,两种动物的学习能力是否一样,学习能力的差异与什么因素有关。出示“狼孩”的相关视频资料,引导学生进一步思考,人类虽然是最高等的动物,但也必然受到环境的影响,进而得到启发:动物为适应生存环境而不断学习,我们人类更需要学习,只有不断充实自己,才能适应不断进步的社会环境。</w:t>
      </w:r>
    </w:p>
    <w:p w14:paraId="139DCC31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08" name="XT3.EPS" descr="id:21474889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8" name="XT3.EPS" descr="id:2147488971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 xml:space="preserve"> 借助大量实例创设形象生动的学习情境,为学生搭建思维平台,激励学生透过现象看本质,提高学生的比较、归纳、分析、综合等科学思维能力,同时进一步加深对学习行为的概念的理解,树立正确的学习观。</w:t>
      </w:r>
    </w:p>
    <w:p w14:paraId="5539A4BC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91770"/>
            <wp:effectExtent l="0" t="0" r="10795" b="17780"/>
            <wp:docPr id="309" name="教学活动4.EPS" descr="id:21474889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9" name="教学活动4.EPS" descr="id:2147488978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91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03DF697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t>人类对动物学习行为的运用。结合实际生活,让学生发散思维,搜集相关信息,在课堂上展示。</w:t>
      </w:r>
    </w:p>
    <w:p w14:paraId="128FE3FF">
      <w:pPr>
        <w:spacing w:line="360" w:lineRule="auto"/>
        <w:ind w:firstLineChars="200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3025" cy="97155"/>
            <wp:effectExtent l="0" t="0" r="3175" b="17145"/>
            <wp:docPr id="310" name="XT3.EPS" descr="id:21474889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0" name="XT3.EPS" descr="id:2147488985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3080" cy="97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 w:eastAsiaTheme="minorEastAsia"/>
          <w:b/>
          <w:sz w:val="24"/>
          <w:szCs w:val="24"/>
          <w:lang w:eastAsia="zh-CN"/>
        </w:rPr>
        <w:t xml:space="preserve"> 设计意图:</w:t>
      </w:r>
      <w:r>
        <w:rPr>
          <w:rFonts w:hint="default" w:ascii="Times New Roman" w:hAnsi="Times New Roman" w:cs="Times New Roman" w:eastAsiaTheme="minorEastAsia"/>
          <w:sz w:val="24"/>
          <w:szCs w:val="24"/>
        </w:rPr>
        <w:t>了解人类对动物学习行为的运用,引导学生主动关注动物对人类的影响。</w:t>
      </w:r>
    </w:p>
    <w:p w14:paraId="75D2D95D">
      <w:pPr>
        <w:jc w:val="center"/>
        <w:rPr>
          <w:rFonts w:hint="default" w:ascii="Times New Roman" w:hAnsi="Times New Roman" w:cs="Times New Roman" w:eastAsiaTheme="minorEastAsia"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sz w:val="24"/>
          <w:szCs w:val="24"/>
        </w:rPr>
        <w:drawing>
          <wp:inline distT="0" distB="0" distL="0" distR="0">
            <wp:extent cx="789305" cy="182880"/>
            <wp:effectExtent l="0" t="0" r="10795" b="7620"/>
            <wp:docPr id="311" name="板书设计.EPS" descr="id:21474889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1" name="板书设计.EPS" descr="id:2147488992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89480" cy="182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2C223B">
      <w:pPr>
        <w:spacing w:line="360" w:lineRule="auto"/>
        <w:ind w:firstLineChars="200"/>
        <w:jc w:val="center"/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</w:pPr>
      <w:r>
        <w:rPr>
          <w:rFonts w:hint="default" w:ascii="Times New Roman" w:hAnsi="Times New Roman" w:cs="Times New Roman" w:eastAsiaTheme="minorEastAsia"/>
          <w:b/>
          <w:bCs/>
          <w:sz w:val="24"/>
          <w:szCs w:val="24"/>
        </w:rPr>
        <w:t>第三节　先天性行为和学习行为</w:t>
      </w:r>
    </w:p>
    <w:tbl>
      <w:tblPr>
        <w:tblStyle w:val="4"/>
        <w:tblW w:w="533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7"/>
        <w:gridCol w:w="3088"/>
        <w:gridCol w:w="3612"/>
      </w:tblGrid>
      <w:tr w14:paraId="5CA29F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0E88002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动物的行为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A09CB68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先天性行为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507F3EA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学习行为</w:t>
            </w:r>
          </w:p>
        </w:tc>
      </w:tr>
      <w:tr w14:paraId="36B913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5EB47E5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形成时间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5628AC2B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生来就有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3CA94D1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出生后形成的</w:t>
            </w:r>
          </w:p>
        </w:tc>
      </w:tr>
      <w:tr w14:paraId="608535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6F660F3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获得途径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57694F3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由遗传物质控制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36B22F0C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通过生活经验或学习逐渐形成</w:t>
            </w:r>
          </w:p>
        </w:tc>
      </w:tr>
      <w:tr w14:paraId="027554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15670CC5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是否遗传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54C5D5B1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可遗传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218AF4F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不可遗传</w:t>
            </w:r>
          </w:p>
        </w:tc>
      </w:tr>
      <w:tr w14:paraId="3653FD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64508E5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能否丧失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59A46A6A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不会丧失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30F01679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会丧失</w:t>
            </w:r>
          </w:p>
        </w:tc>
      </w:tr>
      <w:tr w14:paraId="7B299F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5B4AAB08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对环境的适应能力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6243F5A0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适应相对稳定的简单环境</w:t>
            </w:r>
          </w:p>
        </w:tc>
        <w:tc>
          <w:tcPr>
            <w:tcMar>
              <w:left w:w="0" w:type="dxa"/>
              <w:right w:w="0" w:type="dxa"/>
            </w:tcMar>
            <w:vAlign w:val="center"/>
          </w:tcPr>
          <w:p w14:paraId="20503CAE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适应不断变化的复杂环境</w:t>
            </w:r>
          </w:p>
        </w:tc>
      </w:tr>
      <w:tr w14:paraId="7C589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9" w:hRule="atLeast"/>
          <w:jc w:val="center"/>
        </w:trPr>
        <w:tc>
          <w:tcPr>
            <w:tcMar>
              <w:left w:w="0" w:type="dxa"/>
              <w:right w:w="0" w:type="dxa"/>
            </w:tcMar>
            <w:vAlign w:val="center"/>
          </w:tcPr>
          <w:p w14:paraId="42516472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进化趋势</w:t>
            </w:r>
          </w:p>
        </w:tc>
        <w:tc>
          <w:tcPr>
            <w:gridSpan w:val="2"/>
            <w:tcMar>
              <w:left w:w="105" w:type="dxa"/>
              <w:right w:w="105" w:type="dxa"/>
            </w:tcMar>
            <w:vAlign w:val="center"/>
          </w:tcPr>
          <w:p w14:paraId="6A265FF7">
            <w:pPr>
              <w:spacing w:line="360" w:lineRule="auto"/>
              <w:jc w:val="center"/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动物越高等,学习行为越复杂,在全部行为中的占比例也</w:t>
            </w:r>
            <w:bookmarkStart w:id="0" w:name="_GoBack"/>
            <w:bookmarkEnd w:id="0"/>
            <w:r>
              <w:rPr>
                <w:rFonts w:hint="default" w:ascii="Times New Roman" w:hAnsi="Times New Roman" w:cs="Times New Roman" w:eastAsiaTheme="minorEastAsia"/>
                <w:sz w:val="24"/>
                <w:szCs w:val="24"/>
              </w:rPr>
              <w:t>越大</w:t>
            </w:r>
          </w:p>
        </w:tc>
      </w:tr>
    </w:tbl>
    <w:p w14:paraId="3FC663B1">
      <w:pPr>
        <w:wordWrap w:val="0"/>
        <w:spacing w:line="360" w:lineRule="auto"/>
        <w:jc w:val="both"/>
      </w:pPr>
    </w:p>
    <w:sectPr>
      <w:head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NEU-BZ-S92">
    <w:altName w:val="宋体"/>
    <w:panose1 w:val="03000502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9FDD65">
    <w:pPr>
      <w:pStyle w:val="3"/>
      <w:rPr>
        <w:rFonts w:hint="eastAsia"/>
      </w:rPr>
    </w:pPr>
    <w:r>
      <w:rPr>
        <w:rFonts w:hint="eastAsia"/>
      </w:rPr>
      <w:t>梯田文化    教辅专家                               《课堂点睛》 《课堂内外》 《中考新航线》</w:t>
    </w:r>
  </w:p>
  <w:p w14:paraId="37DF3754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YxOGMyNDFkMTQxMWJhZTVlZDhiNDQyZGU2OTYwOWEifQ=="/>
  </w:docVars>
  <w:rsids>
    <w:rsidRoot w:val="6F2F792A"/>
    <w:rsid w:val="177A5491"/>
    <w:rsid w:val="1B233EFF"/>
    <w:rsid w:val="2BBF4052"/>
    <w:rsid w:val="36A622B7"/>
    <w:rsid w:val="3717386F"/>
    <w:rsid w:val="39E8110F"/>
    <w:rsid w:val="408A4171"/>
    <w:rsid w:val="483967EE"/>
    <w:rsid w:val="4B4A0E91"/>
    <w:rsid w:val="5AF276C4"/>
    <w:rsid w:val="5CFF3F21"/>
    <w:rsid w:val="68644FD2"/>
    <w:rsid w:val="6E087D91"/>
    <w:rsid w:val="6EB105AA"/>
    <w:rsid w:val="6F0547B1"/>
    <w:rsid w:val="6F2F792A"/>
    <w:rsid w:val="6FE902A7"/>
    <w:rsid w:val="7AA421C5"/>
    <w:rsid w:val="7CBE2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line="410" w:lineRule="exact"/>
      <w:jc w:val="left"/>
    </w:pPr>
    <w:rPr>
      <w:rFonts w:ascii="NEU-BZ-S92" w:hAnsi="NEU-BZ-S92" w:eastAsia="方正书宋_GBK" w:cstheme="minorBidi"/>
      <w:color w:val="000000"/>
      <w:sz w:val="24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二级章节"/>
    <w:basedOn w:val="1"/>
    <w:qFormat/>
    <w:uiPriority w:val="0"/>
    <w:pPr>
      <w:outlineLvl w:val="2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image" Target="media/image8.jpeg"/><Relationship Id="rId13" Type="http://schemas.openxmlformats.org/officeDocument/2006/relationships/image" Target="media/image7.jpeg"/><Relationship Id="rId12" Type="http://schemas.openxmlformats.org/officeDocument/2006/relationships/image" Target="media/image6.jpeg"/><Relationship Id="rId11" Type="http://schemas.openxmlformats.org/officeDocument/2006/relationships/image" Target="media/image5.jpeg"/><Relationship Id="rId10" Type="http://schemas.openxmlformats.org/officeDocument/2006/relationships/image" Target="media/image4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1327</Words>
  <Characters>1331</Characters>
  <Lines>0</Lines>
  <Paragraphs>0</Paragraphs>
  <TotalTime>0</TotalTime>
  <ScaleCrop>false</ScaleCrop>
  <LinksUpToDate>false</LinksUpToDate>
  <CharactersWithSpaces>1550</CharactersWithSpaces>
  <Application>WPS Office_12.1.0.17857_F1E327BC-269C-435d-A152-05C5408002CA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2024-05-28T07:11:00Z</dcterms:created>
  <dc:creator>爱贝儿</dc:creator>
  <cp:lastModifiedBy>Administrator</cp:lastModifiedBy>
  <dcterms:modified xsi:type="dcterms:W3CDTF">2024-09-05T03:57:01Z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2052-12.1.0.17857</vt:lpwstr>
  </property>
  <property fmtid="{D5CDD505-2E9C-101B-9397-08002B2CF9AE}" pid="3" name="ICV">
    <vt:lpwstr>378CB6BFE296496D95DB9ED0FF63805E_13</vt:lpwstr>
  </property>
</Properties>
</file>